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3DC981C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Билайн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72D557C9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5A4D59" w:rsidRPr="00251687">
        <w:rPr>
          <w:color w:val="auto"/>
          <w:szCs w:val="20"/>
        </w:rPr>
        <w:t>Билайн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22A3D047" w14:textId="4F1FB079" w:rsidR="00FA6591" w:rsidRPr="005A4D59" w:rsidRDefault="005A4D59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9F3E8E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9F17A2">
        <w:rPr>
          <w:rFonts w:eastAsia="Times New Roman"/>
          <w:color w:val="auto"/>
          <w:szCs w:val="20"/>
        </w:rPr>
        <w:t>Д</w:t>
      </w:r>
      <w:r w:rsidR="009F3E8E" w:rsidRPr="00951F44">
        <w:rPr>
          <w:rFonts w:eastAsia="Times New Roman"/>
          <w:color w:val="auto"/>
          <w:szCs w:val="20"/>
        </w:rPr>
        <w:t>оговора до 31.12.2024</w:t>
      </w:r>
      <w:r w:rsidR="00F34473" w:rsidRPr="005A4D59">
        <w:rPr>
          <w:color w:val="auto"/>
          <w:szCs w:val="20"/>
        </w:rPr>
        <w:t xml:space="preserve">. </w:t>
      </w:r>
    </w:p>
    <w:p w14:paraId="344BFCEA" w14:textId="45C46FA6" w:rsidR="00FA6591" w:rsidRPr="005A4D59" w:rsidRDefault="00FA6591" w:rsidP="005A4D59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5A4D59" w:rsidRDefault="00F34473" w:rsidP="005A4D5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12CB9E19" w14:textId="77777777" w:rsidR="00D26BA2" w:rsidRPr="00251687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287CE659" w14:textId="77777777" w:rsidR="00D26BA2" w:rsidRPr="005A4D59" w:rsidRDefault="00D26BA2" w:rsidP="00D26BA2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5A9D9FD3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Pr="005A4D59">
        <w:rPr>
          <w:color w:val="auto"/>
          <w:szCs w:val="20"/>
        </w:rPr>
        <w:t>тоимость услуги рассылки должна быть определена для каждого сообщения</w:t>
      </w:r>
      <w:r>
        <w:rPr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5A4D59">
        <w:rPr>
          <w:color w:val="auto"/>
          <w:szCs w:val="20"/>
        </w:rPr>
        <w:t>.</w:t>
      </w:r>
    </w:p>
    <w:p w14:paraId="6C094408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Pr="005A4D59">
        <w:rPr>
          <w:color w:val="auto"/>
          <w:szCs w:val="20"/>
        </w:rPr>
        <w:t xml:space="preserve"> рассылаемых СМС сообщений: короткий (70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3A83D3B4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6E5D7056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11AB8C2E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статуса доставки сообщений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>.</w:t>
      </w:r>
    </w:p>
    <w:p w14:paraId="7D2D7AC7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баланса/объема израсходованных средств не менее чем 1 раз в день. </w:t>
      </w:r>
      <w:r w:rsidRPr="00251687">
        <w:rPr>
          <w:color w:val="auto"/>
          <w:szCs w:val="20"/>
        </w:rPr>
        <w:t xml:space="preserve"> </w:t>
      </w:r>
    </w:p>
    <w:p w14:paraId="54CC1BBA" w14:textId="77777777" w:rsidR="00D26BA2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5509D17" w14:textId="77777777" w:rsidR="00D26BA2" w:rsidRPr="00251687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251687">
        <w:rPr>
          <w:strike/>
          <w:color w:val="auto"/>
          <w:szCs w:val="20"/>
        </w:rPr>
        <w:t xml:space="preserve"> </w:t>
      </w:r>
    </w:p>
    <w:p w14:paraId="70A7521F" w14:textId="77777777" w:rsidR="00D26BA2" w:rsidRPr="005A4D59" w:rsidRDefault="00D26BA2" w:rsidP="00D26BA2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5E065623" w14:textId="77777777" w:rsidR="00D26BA2" w:rsidRPr="005A4D59" w:rsidRDefault="00D26BA2" w:rsidP="00D26B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342365B1" w14:textId="77777777" w:rsidR="00D26BA2" w:rsidRPr="005A4D59" w:rsidRDefault="00D26BA2" w:rsidP="00D26B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4D00FD22" w14:textId="77777777" w:rsidR="00D26BA2" w:rsidRPr="005A4D59" w:rsidRDefault="00D26BA2" w:rsidP="00D26B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39FBE648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>
        <w:rPr>
          <w:color w:val="auto"/>
          <w:szCs w:val="20"/>
        </w:rPr>
        <w:t>-а</w:t>
      </w:r>
      <w:r w:rsidRPr="005A4D59">
        <w:rPr>
          <w:color w:val="auto"/>
          <w:szCs w:val="20"/>
        </w:rPr>
        <w:t xml:space="preserve">дреса Заказчика.  </w:t>
      </w:r>
    </w:p>
    <w:p w14:paraId="0FBE2556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0CAB0B2B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8D82992" w14:textId="77777777" w:rsidR="00D26BA2" w:rsidRPr="005A4D59" w:rsidRDefault="00D26BA2" w:rsidP="00D26B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отправке СМС сообщений через </w:t>
      </w:r>
      <w:r w:rsidRPr="000D0EB8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37BF7B50" w:rsidR="00DF64A7" w:rsidRPr="005A4D59" w:rsidRDefault="00D26BA2" w:rsidP="00CB31EE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 (</w:t>
      </w:r>
      <w:proofErr w:type="spellStart"/>
      <w:r w:rsidRPr="005A4D59">
        <w:rPr>
          <w:color w:val="auto"/>
          <w:szCs w:val="20"/>
        </w:rPr>
        <w:t>нейминг</w:t>
      </w:r>
      <w:proofErr w:type="spellEnd"/>
      <w:r w:rsidRPr="005A4D59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5A4D59">
        <w:rPr>
          <w:color w:val="auto"/>
          <w:szCs w:val="20"/>
        </w:rPr>
        <w:lastRenderedPageBreak/>
        <w:t xml:space="preserve">заказчика </w:t>
      </w:r>
      <w:proofErr w:type="spellStart"/>
      <w:r w:rsidRPr="005A4D59">
        <w:rPr>
          <w:color w:val="auto"/>
          <w:szCs w:val="20"/>
        </w:rPr>
        <w:t>неймингов</w:t>
      </w:r>
      <w:proofErr w:type="spellEnd"/>
      <w:r w:rsidRPr="005A4D59">
        <w:rPr>
          <w:color w:val="auto"/>
          <w:szCs w:val="20"/>
        </w:rPr>
        <w:t xml:space="preserve"> ESB_PLUS, IES-GARANT и </w:t>
      </w:r>
      <w:r w:rsidRPr="005A4D59">
        <w:rPr>
          <w:color w:val="auto"/>
          <w:szCs w:val="20"/>
          <w:lang w:val="en-US"/>
        </w:rPr>
        <w:t>JOB</w:t>
      </w:r>
      <w:r w:rsidRPr="005A4D59">
        <w:rPr>
          <w:color w:val="auto"/>
          <w:szCs w:val="20"/>
        </w:rPr>
        <w:t>_</w:t>
      </w:r>
      <w:r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Pr="005A4D59">
        <w:rPr>
          <w:color w:val="auto"/>
          <w:szCs w:val="20"/>
        </w:rPr>
        <w:t xml:space="preserve">. </w:t>
      </w:r>
      <w:r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5A4D59">
        <w:rPr>
          <w:color w:val="auto"/>
          <w:szCs w:val="20"/>
        </w:rPr>
        <w:t xml:space="preserve">. </w:t>
      </w:r>
    </w:p>
    <w:p w14:paraId="454FA065" w14:textId="353429FF" w:rsidR="00FA6591" w:rsidRDefault="00FA6591" w:rsidP="00CB31EE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0C8E093F" w14:textId="77777777" w:rsidR="00CB31EE" w:rsidRPr="00CB31EE" w:rsidRDefault="00CB31EE" w:rsidP="00CB31EE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CB31EE">
        <w:rPr>
          <w:color w:val="auto"/>
          <w:szCs w:val="20"/>
        </w:rPr>
        <w:t>ТРЕБОВАНИЯ К ИСПОЛНИТЕЛЮ</w:t>
      </w:r>
    </w:p>
    <w:p w14:paraId="4005793F" w14:textId="42D4F77C" w:rsidR="00CB31EE" w:rsidRDefault="00CB31EE" w:rsidP="00CB31EE">
      <w:pPr>
        <w:spacing w:after="0" w:line="240" w:lineRule="auto"/>
      </w:pPr>
      <w:r>
        <w:t>3.1.    Наличие собственной службы технической поддержки</w:t>
      </w:r>
      <w:r>
        <w:t>.</w:t>
      </w:r>
      <w:bookmarkStart w:id="0" w:name="_GoBack"/>
      <w:bookmarkEnd w:id="0"/>
    </w:p>
    <w:p w14:paraId="4CAC643B" w14:textId="77777777" w:rsidR="00CB31EE" w:rsidRPr="005A4D59" w:rsidRDefault="00CB31EE" w:rsidP="00CB31EE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3312BE9A" w14:textId="77777777" w:rsidR="000D0EB8" w:rsidRPr="001E6CD2" w:rsidRDefault="000D0EB8" w:rsidP="00CB31EE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126D7AF" w14:textId="1B1E4CBB" w:rsidR="000D0EB8" w:rsidRPr="00CB31EE" w:rsidRDefault="000D0EB8" w:rsidP="00CB31EE">
      <w:pPr>
        <w:pStyle w:val="ab"/>
        <w:numPr>
          <w:ilvl w:val="1"/>
          <w:numId w:val="16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CB31EE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5A4D59" w:rsidRDefault="000D0EB8" w:rsidP="00CB31EE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13"/>
  </w:num>
  <w:num w:numId="11">
    <w:abstractNumId w:val="9"/>
  </w:num>
  <w:num w:numId="12">
    <w:abstractNumId w:val="8"/>
  </w:num>
  <w:num w:numId="13">
    <w:abstractNumId w:val="5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24</cp:revision>
  <cp:lastPrinted>2022-03-01T05:58:00Z</cp:lastPrinted>
  <dcterms:created xsi:type="dcterms:W3CDTF">2022-11-30T07:15:00Z</dcterms:created>
  <dcterms:modified xsi:type="dcterms:W3CDTF">2023-12-27T10:47:00Z</dcterms:modified>
</cp:coreProperties>
</file>